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6C" w:rsidRDefault="00895D6C" w:rsidP="00895D6C">
      <w:pPr>
        <w:pStyle w:val="EndNoteBibliography"/>
        <w:bidi w:val="0"/>
        <w:rPr>
          <w:rtl/>
        </w:rPr>
      </w:pPr>
    </w:p>
    <w:p w:rsidR="00895D6C" w:rsidRDefault="00895D6C" w:rsidP="00895D6C">
      <w:pPr>
        <w:pStyle w:val="EndNoteBibliography"/>
        <w:bidi w:val="0"/>
        <w:rPr>
          <w:rtl/>
        </w:rPr>
      </w:pPr>
    </w:p>
    <w:p w:rsidR="00895D6C" w:rsidRDefault="00895D6C" w:rsidP="00895D6C">
      <w:pPr>
        <w:pStyle w:val="EndNoteBibliography"/>
        <w:bidi w:val="0"/>
        <w:rPr>
          <w:rtl/>
        </w:rPr>
      </w:pPr>
    </w:p>
    <w:p w:rsidR="00895D6C" w:rsidRDefault="00895D6C" w:rsidP="00895D6C">
      <w:pPr>
        <w:pStyle w:val="EndNoteBibliography"/>
        <w:bidi w:val="0"/>
        <w:rPr>
          <w:rtl/>
        </w:rPr>
      </w:pPr>
    </w:p>
    <w:p w:rsidR="00895D6C" w:rsidRDefault="00895D6C" w:rsidP="00895D6C">
      <w:pPr>
        <w:pStyle w:val="EndNoteBibliography"/>
        <w:bidi w:val="0"/>
        <w:rPr>
          <w:rtl/>
        </w:rPr>
      </w:pPr>
    </w:p>
    <w:p w:rsidR="00895D6C" w:rsidRDefault="00895D6C" w:rsidP="00895D6C">
      <w:pPr>
        <w:widowControl w:val="0"/>
        <w:bidi w:val="0"/>
        <w:sectPr w:rsidR="00895D6C" w:rsidSect="00895D6C">
          <w:pgSz w:w="12240" w:h="15840" w:code="1"/>
          <w:pgMar w:top="1440" w:right="1440" w:bottom="1440" w:left="1440" w:header="567" w:footer="567" w:gutter="0"/>
          <w:cols w:num="2" w:space="480"/>
          <w:docGrid w:linePitch="360"/>
        </w:sectPr>
      </w:pPr>
    </w:p>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895D6C" w:rsidTr="002B56B3">
        <w:tc>
          <w:tcPr>
            <w:tcW w:w="9350" w:type="dxa"/>
            <w:shd w:val="clear" w:color="auto" w:fill="16258F"/>
          </w:tcPr>
          <w:p w:rsidR="00895D6C" w:rsidRDefault="00895D6C" w:rsidP="002B56B3">
            <w:pPr>
              <w:pStyle w:val="NoSpacing"/>
              <w:bidi w:val="0"/>
              <w:jc w:val="center"/>
              <w:rPr>
                <w:rFonts w:eastAsia="Times New Roman" w:cs="B Zar"/>
                <w:b w:val="0"/>
                <w:bCs w:val="0"/>
                <w:sz w:val="28"/>
                <w:szCs w:val="28"/>
              </w:rPr>
            </w:pPr>
            <w:r>
              <w:rPr>
                <w:rFonts w:eastAsia="Times New Roman" w:cs="B Zar"/>
                <w:sz w:val="10"/>
                <w:szCs w:val="10"/>
              </w:rPr>
              <w:lastRenderedPageBreak/>
              <w:br w:type="page"/>
            </w:r>
            <w:r>
              <w:t xml:space="preserve"> </w:t>
            </w:r>
            <w:r w:rsidRPr="002A2BD9">
              <w:rPr>
                <w:sz w:val="28"/>
                <w:szCs w:val="36"/>
              </w:rPr>
              <w:t>L</w:t>
            </w:r>
            <w:r>
              <w:rPr>
                <w:sz w:val="28"/>
                <w:szCs w:val="36"/>
              </w:rPr>
              <w:t>ETTER TO EDITOR</w:t>
            </w:r>
          </w:p>
        </w:tc>
      </w:tr>
    </w:tbl>
    <w:p w:rsidR="00895D6C" w:rsidRPr="00B94147" w:rsidRDefault="00895D6C" w:rsidP="00895D6C">
      <w:pPr>
        <w:widowControl w:val="0"/>
        <w:bidi w:val="0"/>
        <w:rPr>
          <w:rFonts w:eastAsia="Times New Roman" w:cs="B Zar"/>
          <w:b/>
          <w:bCs/>
          <w:sz w:val="24"/>
          <w:szCs w:val="24"/>
        </w:rPr>
      </w:pPr>
    </w:p>
    <w:p w:rsidR="00895D6C" w:rsidRDefault="00895D6C" w:rsidP="00895D6C">
      <w:pPr>
        <w:widowControl w:val="0"/>
        <w:bidi w:val="0"/>
        <w:rPr>
          <w:rFonts w:eastAsia="Times New Roman" w:cs="B Zar"/>
          <w:b/>
          <w:bCs/>
          <w:sz w:val="28"/>
          <w:szCs w:val="28"/>
          <w:rtl/>
        </w:rPr>
      </w:pPr>
      <w:r w:rsidRPr="00527182">
        <w:rPr>
          <w:rFonts w:eastAsia="Times New Roman" w:cs="B Zar"/>
          <w:b/>
          <w:bCs/>
          <w:sz w:val="28"/>
          <w:szCs w:val="28"/>
        </w:rPr>
        <w:t>The need to establish a general preventive, diagnostic and therapeutic guideline for opium-lead intoxication</w:t>
      </w:r>
    </w:p>
    <w:p w:rsidR="00895D6C" w:rsidRPr="005C18DC" w:rsidRDefault="00895D6C" w:rsidP="00895D6C">
      <w:pPr>
        <w:widowControl w:val="0"/>
        <w:bidi w:val="0"/>
        <w:rPr>
          <w:rFonts w:asciiTheme="majorBidi" w:eastAsia="Times New Roman" w:hAnsiTheme="majorBidi" w:cs="B Zar"/>
          <w:b/>
          <w:bCs/>
          <w:sz w:val="28"/>
          <w:szCs w:val="28"/>
        </w:rPr>
      </w:pPr>
    </w:p>
    <w:p w:rsidR="00895D6C" w:rsidRDefault="00895D6C" w:rsidP="00895D6C">
      <w:pPr>
        <w:widowControl w:val="0"/>
        <w:bidi w:val="0"/>
        <w:rPr>
          <w:rFonts w:eastAsia="Times New Roman" w:cs="B Zar"/>
          <w:sz w:val="20"/>
        </w:rPr>
      </w:pPr>
      <w:r w:rsidRPr="00C57EA0">
        <w:rPr>
          <w:rFonts w:eastAsia="Times New Roman" w:cs="B Zar"/>
          <w:sz w:val="20"/>
        </w:rPr>
        <w:t>Ali Tafazoli Moghadam</w:t>
      </w:r>
      <w:r w:rsidRPr="00C57EA0">
        <w:rPr>
          <w:rFonts w:eastAsia="Times New Roman" w:cs="B Zar"/>
          <w:sz w:val="20"/>
          <w:vertAlign w:val="superscript"/>
        </w:rPr>
        <w:t>1</w:t>
      </w:r>
      <w:r w:rsidRPr="009D754F">
        <w:rPr>
          <w:rFonts w:eastAsia="Times New Roman" w:cs="B Zar"/>
          <w:sz w:val="20"/>
        </w:rPr>
        <w:t xml:space="preserve">, </w:t>
      </w:r>
      <w:r w:rsidRPr="00C57EA0">
        <w:rPr>
          <w:rFonts w:eastAsia="Times New Roman" w:cs="B Zar"/>
          <w:sz w:val="20"/>
        </w:rPr>
        <w:t>Maryam Bahreini</w:t>
      </w:r>
      <w:r w:rsidRPr="00C57EA0">
        <w:rPr>
          <w:rFonts w:eastAsia="Times New Roman" w:cs="B Zar"/>
          <w:sz w:val="20"/>
          <w:vertAlign w:val="superscript"/>
        </w:rPr>
        <w:t>2</w:t>
      </w:r>
      <w:r w:rsidRPr="009D754F">
        <w:rPr>
          <w:rFonts w:eastAsia="Times New Roman" w:cs="B Zar"/>
          <w:sz w:val="20"/>
        </w:rPr>
        <w:t>*</w:t>
      </w:r>
    </w:p>
    <w:p w:rsidR="00895D6C" w:rsidRPr="005C18DC" w:rsidRDefault="00895D6C" w:rsidP="00895D6C">
      <w:pPr>
        <w:widowControl w:val="0"/>
        <w:bidi w:val="0"/>
        <w:rPr>
          <w:rFonts w:eastAsia="Times New Roman" w:cs="B Zar"/>
          <w:b/>
          <w:bCs/>
          <w:sz w:val="18"/>
          <w:szCs w:val="18"/>
        </w:rPr>
      </w:pPr>
    </w:p>
    <w:p w:rsidR="00895D6C" w:rsidRPr="00C57EA0" w:rsidRDefault="00895D6C" w:rsidP="00895D6C">
      <w:pPr>
        <w:autoSpaceDE w:val="0"/>
        <w:autoSpaceDN w:val="0"/>
        <w:bidi w:val="0"/>
        <w:adjustRightInd w:val="0"/>
        <w:rPr>
          <w:rFonts w:cs="Times New Roman"/>
          <w:sz w:val="18"/>
          <w:szCs w:val="18"/>
          <w:vertAlign w:val="superscript"/>
        </w:rPr>
      </w:pPr>
      <w:r w:rsidRPr="00C57EA0">
        <w:rPr>
          <w:rFonts w:cs="Times New Roman"/>
          <w:sz w:val="18"/>
          <w:szCs w:val="18"/>
        </w:rPr>
        <w:t>1. Department of Clinical Pharmacy, Faculty of Pharmacy, Shahid Beheshti University of Medical Sciences, Tehran, Iran</w:t>
      </w:r>
      <w:r>
        <w:rPr>
          <w:rFonts w:cs="Times New Roman"/>
          <w:sz w:val="18"/>
          <w:szCs w:val="18"/>
        </w:rPr>
        <w:t>.</w:t>
      </w:r>
    </w:p>
    <w:p w:rsidR="00895D6C" w:rsidRPr="003A0497" w:rsidRDefault="00895D6C" w:rsidP="00895D6C">
      <w:pPr>
        <w:autoSpaceDE w:val="0"/>
        <w:autoSpaceDN w:val="0"/>
        <w:bidi w:val="0"/>
        <w:adjustRightInd w:val="0"/>
        <w:rPr>
          <w:rFonts w:ascii="Times New Roman" w:hAnsi="Times New Roman" w:cs="Times New Roman"/>
          <w:sz w:val="24"/>
          <w:szCs w:val="24"/>
        </w:rPr>
      </w:pPr>
      <w:r w:rsidRPr="00C57EA0">
        <w:rPr>
          <w:rFonts w:cs="Times New Roman"/>
          <w:sz w:val="18"/>
          <w:szCs w:val="18"/>
        </w:rPr>
        <w:t>2. Associate Professor of Emergency Medicine, Tehran University of Medical Sciences, Tehran, Iran</w:t>
      </w:r>
      <w:r>
        <w:rPr>
          <w:rFonts w:cs="Times New Roman"/>
          <w:sz w:val="18"/>
          <w:szCs w:val="18"/>
        </w:rPr>
        <w:t>.</w:t>
      </w:r>
    </w:p>
    <w:p w:rsidR="00895D6C" w:rsidRPr="005C18DC" w:rsidRDefault="00895D6C" w:rsidP="00895D6C">
      <w:pPr>
        <w:widowControl w:val="0"/>
        <w:bidi w:val="0"/>
        <w:rPr>
          <w:rFonts w:eastAsia="Times New Roman" w:cs="B Zar"/>
          <w:szCs w:val="16"/>
        </w:rPr>
      </w:pPr>
    </w:p>
    <w:p w:rsidR="00895D6C" w:rsidRPr="002A2BD9" w:rsidRDefault="00895D6C" w:rsidP="00895D6C">
      <w:pPr>
        <w:widowControl w:val="0"/>
        <w:bidi w:val="0"/>
        <w:rPr>
          <w:rFonts w:eastAsia="Times New Roman" w:cs="B Zar"/>
          <w:szCs w:val="16"/>
        </w:rPr>
      </w:pPr>
      <w:r w:rsidRPr="005C18DC">
        <w:rPr>
          <w:rFonts w:eastAsia="Times New Roman" w:cs="B Zar"/>
          <w:b/>
          <w:bCs/>
          <w:szCs w:val="16"/>
        </w:rPr>
        <w:t>*Corresponding author:</w:t>
      </w:r>
      <w:r w:rsidRPr="005C18DC">
        <w:rPr>
          <w:rFonts w:eastAsia="Times New Roman" w:cs="B Zar"/>
          <w:szCs w:val="16"/>
        </w:rPr>
        <w:t xml:space="preserve"> </w:t>
      </w:r>
      <w:r w:rsidRPr="00C57EA0">
        <w:rPr>
          <w:rFonts w:eastAsia="Times New Roman" w:cs="B Zar"/>
          <w:szCs w:val="16"/>
        </w:rPr>
        <w:t>Maryam Bahreini</w:t>
      </w:r>
      <w:r w:rsidRPr="009D754F">
        <w:rPr>
          <w:rFonts w:eastAsia="Times New Roman" w:cs="B Zar"/>
          <w:szCs w:val="16"/>
        </w:rPr>
        <w:t xml:space="preserve">; </w:t>
      </w:r>
      <w:r w:rsidRPr="00C57EA0">
        <w:rPr>
          <w:rFonts w:eastAsia="Times New Roman" w:cs="B Zar"/>
          <w:szCs w:val="16"/>
        </w:rPr>
        <w:t>Associate Professor of Emergency Medicine, Tehran University of Medical Sciences, Tehran, Iran</w:t>
      </w:r>
      <w:r>
        <w:rPr>
          <w:rFonts w:eastAsia="Times New Roman" w:cs="B Zar" w:hint="cs"/>
          <w:szCs w:val="16"/>
          <w:rtl/>
        </w:rPr>
        <w:t xml:space="preserve"> .</w:t>
      </w:r>
      <w:r w:rsidRPr="00C57EA0">
        <w:t xml:space="preserve"> </w:t>
      </w:r>
      <w:r w:rsidRPr="00C57EA0">
        <w:rPr>
          <w:rFonts w:eastAsia="Times New Roman" w:cs="B Zar"/>
          <w:szCs w:val="16"/>
        </w:rPr>
        <w:t>Tel/Fax: +98-21-63121413</w:t>
      </w:r>
      <w:r>
        <w:rPr>
          <w:rFonts w:eastAsia="Times New Roman" w:cs="B Zar" w:hint="cs"/>
          <w:szCs w:val="16"/>
          <w:rtl/>
        </w:rPr>
        <w:t xml:space="preserve"> </w:t>
      </w:r>
      <w:r>
        <w:rPr>
          <w:rFonts w:eastAsia="Times New Roman" w:cs="B Zar"/>
          <w:szCs w:val="16"/>
        </w:rPr>
        <w:t xml:space="preserve">, </w:t>
      </w:r>
      <w:r w:rsidRPr="009D754F">
        <w:rPr>
          <w:rFonts w:eastAsia="Times New Roman" w:cs="B Zar"/>
          <w:szCs w:val="16"/>
        </w:rPr>
        <w:t xml:space="preserve">Email: </w:t>
      </w:r>
      <w:r w:rsidRPr="00C57EA0">
        <w:rPr>
          <w:rFonts w:eastAsia="Times New Roman" w:cs="B Zar"/>
          <w:szCs w:val="16"/>
        </w:rPr>
        <w:t>bahreinimaryam@gmail.com; m-bahreini@tums.ac.ir</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895D6C" w:rsidRPr="005C18DC" w:rsidTr="002B56B3">
        <w:tc>
          <w:tcPr>
            <w:tcW w:w="1152" w:type="dxa"/>
            <w:shd w:val="clear" w:color="auto" w:fill="16258F"/>
          </w:tcPr>
          <w:p w:rsidR="00895D6C" w:rsidRPr="005C18DC" w:rsidRDefault="00895D6C" w:rsidP="002B56B3">
            <w:pPr>
              <w:pStyle w:val="NoSpacing"/>
              <w:bidi w:val="0"/>
              <w:jc w:val="left"/>
              <w:rPr>
                <w:rFonts w:eastAsia="Times New Roman" w:cs="B Zar"/>
                <w:b w:val="0"/>
                <w:bCs w:val="0"/>
                <w:sz w:val="24"/>
                <w:szCs w:val="24"/>
              </w:rPr>
            </w:pPr>
            <w:r w:rsidRPr="005C18DC">
              <w:rPr>
                <w:sz w:val="22"/>
                <w:szCs w:val="28"/>
              </w:rPr>
              <w:t>Abstract</w:t>
            </w:r>
          </w:p>
        </w:tc>
        <w:tc>
          <w:tcPr>
            <w:tcW w:w="8204" w:type="dxa"/>
          </w:tcPr>
          <w:p w:rsidR="00895D6C" w:rsidRPr="005C18DC" w:rsidRDefault="00895D6C" w:rsidP="002B56B3">
            <w:pPr>
              <w:widowControl w:val="0"/>
              <w:bidi w:val="0"/>
              <w:rPr>
                <w:rFonts w:eastAsia="Times New Roman" w:cs="B Zar"/>
                <w:b/>
                <w:bCs/>
                <w:sz w:val="24"/>
                <w:szCs w:val="24"/>
              </w:rPr>
            </w:pPr>
          </w:p>
        </w:tc>
      </w:tr>
      <w:tr w:rsidR="00895D6C" w:rsidRPr="005C18DC" w:rsidTr="002B56B3">
        <w:tc>
          <w:tcPr>
            <w:tcW w:w="9356" w:type="dxa"/>
            <w:gridSpan w:val="2"/>
          </w:tcPr>
          <w:p w:rsidR="00895D6C" w:rsidRPr="00C57EA0" w:rsidRDefault="00895D6C" w:rsidP="002B56B3">
            <w:pPr>
              <w:bidi w:val="0"/>
              <w:rPr>
                <w:rFonts w:cs="Times New Roman"/>
                <w:sz w:val="24"/>
                <w:szCs w:val="24"/>
              </w:rPr>
            </w:pPr>
            <w:r w:rsidRPr="00C57EA0">
              <w:rPr>
                <w:rFonts w:cs="Times New Roman"/>
                <w:b/>
                <w:bCs/>
                <w:sz w:val="24"/>
                <w:szCs w:val="24"/>
              </w:rPr>
              <w:t>Introduction:</w:t>
            </w:r>
            <w:r w:rsidRPr="00C57EA0">
              <w:rPr>
                <w:rFonts w:cs="Times New Roman"/>
                <w:b/>
                <w:bCs/>
                <w:sz w:val="24"/>
                <w:szCs w:val="24"/>
                <w:rtl/>
              </w:rPr>
              <w:t xml:space="preserve"> </w:t>
            </w:r>
            <w:r w:rsidRPr="00C57EA0">
              <w:rPr>
                <w:rFonts w:cs="Times New Roman"/>
                <w:sz w:val="24"/>
                <w:szCs w:val="24"/>
              </w:rPr>
              <w:t>The prevalence of opium consumption has known to be significant in</w:t>
            </w:r>
            <w:r w:rsidRPr="00C57EA0">
              <w:rPr>
                <w:rFonts w:cs="Times New Roman"/>
                <w:b/>
                <w:bCs/>
                <w:sz w:val="24"/>
                <w:szCs w:val="24"/>
              </w:rPr>
              <w:t xml:space="preserve"> </w:t>
            </w:r>
            <w:r w:rsidRPr="00C57EA0">
              <w:rPr>
                <w:rFonts w:cs="Times New Roman"/>
                <w:sz w:val="24"/>
                <w:szCs w:val="24"/>
              </w:rPr>
              <w:t>Iran</w:t>
            </w:r>
            <w:r w:rsidRPr="00C57EA0">
              <w:rPr>
                <w:rFonts w:cs="Times New Roman"/>
                <w:b/>
                <w:bCs/>
                <w:sz w:val="24"/>
                <w:szCs w:val="24"/>
              </w:rPr>
              <w:t xml:space="preserve"> </w:t>
            </w:r>
            <w:r w:rsidRPr="00C57EA0">
              <w:rPr>
                <w:rFonts w:cs="Times New Roman"/>
                <w:sz w:val="24"/>
                <w:szCs w:val="24"/>
              </w:rPr>
              <w:t>which involves healthy individuals other than associated patients.</w:t>
            </w:r>
            <w:r>
              <w:rPr>
                <w:rFonts w:cs="Times New Roman"/>
                <w:sz w:val="24"/>
                <w:szCs w:val="24"/>
              </w:rPr>
              <w:t xml:space="preserve"> </w:t>
            </w:r>
            <w:r w:rsidRPr="00C57EA0">
              <w:rPr>
                <w:rFonts w:cs="Times New Roman"/>
                <w:b/>
                <w:bCs/>
                <w:sz w:val="24"/>
                <w:szCs w:val="24"/>
              </w:rPr>
              <w:t>Results:</w:t>
            </w:r>
            <w:r>
              <w:rPr>
                <w:rFonts w:cs="Times New Roman"/>
                <w:sz w:val="24"/>
                <w:szCs w:val="24"/>
              </w:rPr>
              <w:t xml:space="preserve"> </w:t>
            </w:r>
            <w:r w:rsidRPr="00C57EA0">
              <w:rPr>
                <w:rFonts w:cs="Times New Roman"/>
                <w:sz w:val="24"/>
                <w:szCs w:val="24"/>
              </w:rPr>
              <w:t>The consumption of opium resulted from several factors such as traditional beliefs on its analgesic effects or in some chronic illnesses. Furthermore, the geographic situation of problematic neighbors is a culprit for this issue. Legislative measures and increased opium costs have led to the adulteration of opium. Lead is one of the most frequently used adulterants which has significantly led to opium lead intoxication.</w:t>
            </w:r>
            <w:r w:rsidRPr="00C57EA0">
              <w:rPr>
                <w:rFonts w:cs="Times New Roman"/>
                <w:sz w:val="24"/>
                <w:szCs w:val="24"/>
                <w:rtl/>
              </w:rPr>
              <w:t xml:space="preserve"> </w:t>
            </w:r>
            <w:r w:rsidRPr="00C57EA0">
              <w:rPr>
                <w:rFonts w:cs="Times New Roman"/>
                <w:b/>
                <w:bCs/>
                <w:sz w:val="24"/>
                <w:szCs w:val="24"/>
              </w:rPr>
              <w:t>Conclusion:</w:t>
            </w:r>
            <w:r w:rsidRPr="00C57EA0">
              <w:rPr>
                <w:rFonts w:cs="Times New Roman"/>
                <w:sz w:val="24"/>
                <w:szCs w:val="24"/>
              </w:rPr>
              <w:t xml:space="preserve"> The increasing number of patients with lead poisoning is a concern that raise the need to perform high-quality studies and to provide effective preventive and diagnostic guidelines.</w:t>
            </w:r>
          </w:p>
          <w:p w:rsidR="00895D6C" w:rsidRPr="005C18DC" w:rsidRDefault="00895D6C" w:rsidP="002B56B3">
            <w:pPr>
              <w:bidi w:val="0"/>
              <w:ind w:right="34"/>
              <w:rPr>
                <w:rFonts w:eastAsia="Times New Roman" w:cs="B Zar"/>
                <w:b/>
                <w:bCs/>
                <w:sz w:val="24"/>
                <w:szCs w:val="24"/>
              </w:rPr>
            </w:pPr>
          </w:p>
        </w:tc>
      </w:tr>
      <w:tr w:rsidR="00895D6C" w:rsidRPr="00776D60" w:rsidTr="002B56B3">
        <w:tc>
          <w:tcPr>
            <w:tcW w:w="9356" w:type="dxa"/>
            <w:gridSpan w:val="2"/>
            <w:tcBorders>
              <w:bottom w:val="single" w:sz="4" w:space="0" w:color="auto"/>
            </w:tcBorders>
          </w:tcPr>
          <w:p w:rsidR="00895D6C" w:rsidRPr="00132D09" w:rsidRDefault="00895D6C" w:rsidP="002B56B3">
            <w:pPr>
              <w:widowControl w:val="0"/>
              <w:bidi w:val="0"/>
              <w:rPr>
                <w:rFonts w:eastAsia="Times New Roman" w:cs="B Zar"/>
                <w:b/>
                <w:bCs/>
                <w:spacing w:val="-14"/>
                <w:sz w:val="24"/>
                <w:szCs w:val="24"/>
              </w:rPr>
            </w:pPr>
            <w:r w:rsidRPr="005C18DC">
              <w:rPr>
                <w:rFonts w:eastAsia="Times New Roman" w:cs="B Zar"/>
                <w:b/>
                <w:bCs/>
                <w:spacing w:val="-14"/>
                <w:sz w:val="24"/>
                <w:szCs w:val="24"/>
              </w:rPr>
              <w:t xml:space="preserve">Key words: </w:t>
            </w:r>
            <w:r w:rsidRPr="005A0505">
              <w:rPr>
                <w:rFonts w:ascii="Times New Roman" w:hAnsi="Times New Roman" w:cs="Times New Roman"/>
                <w:sz w:val="24"/>
                <w:szCs w:val="24"/>
              </w:rPr>
              <w:t>Addiction, Intoxication, Lead, Opium</w:t>
            </w:r>
          </w:p>
        </w:tc>
      </w:tr>
    </w:tbl>
    <w:p w:rsidR="008C7526" w:rsidRDefault="008C7526">
      <w:bookmarkStart w:id="0" w:name="_GoBack"/>
      <w:bookmarkEnd w:id="0"/>
    </w:p>
    <w:sectPr w:rsidR="008C75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6C"/>
    <w:rsid w:val="00895D6C"/>
    <w:rsid w:val="008C75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90966-203F-4881-A201-64159963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D6C"/>
    <w:pPr>
      <w:bidi/>
      <w:spacing w:after="0" w:line="240" w:lineRule="auto"/>
      <w:jc w:val="both"/>
    </w:pPr>
    <w:rPr>
      <w:rFonts w:ascii="Cambria" w:hAnsi="Cambria" w:cs="B Nazanin"/>
      <w:sz w:val="16"/>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uiPriority w:val="1"/>
    <w:qFormat/>
    <w:rsid w:val="00895D6C"/>
    <w:pPr>
      <w:widowControl w:val="0"/>
    </w:pPr>
    <w:rPr>
      <w:b/>
      <w:bCs/>
    </w:rPr>
  </w:style>
  <w:style w:type="paragraph" w:customStyle="1" w:styleId="EndNoteBibliography">
    <w:name w:val="EndNote Bibliography"/>
    <w:basedOn w:val="Normal"/>
    <w:link w:val="EndNoteBibliographyChar"/>
    <w:rsid w:val="00895D6C"/>
    <w:rPr>
      <w:rFonts w:eastAsiaTheme="majorEastAsia"/>
      <w:noProof/>
      <w:spacing w:val="-10"/>
      <w:kern w:val="28"/>
    </w:rPr>
  </w:style>
  <w:style w:type="character" w:customStyle="1" w:styleId="EndNoteBibliographyChar">
    <w:name w:val="EndNote Bibliography Char"/>
    <w:basedOn w:val="DefaultParagraphFont"/>
    <w:link w:val="EndNoteBibliography"/>
    <w:rsid w:val="00895D6C"/>
    <w:rPr>
      <w:rFonts w:ascii="Cambria" w:eastAsiaTheme="majorEastAsia" w:hAnsi="Cambria" w:cs="B Nazanin"/>
      <w:noProof/>
      <w:spacing w:val="-10"/>
      <w:kern w:val="28"/>
      <w:sz w:val="16"/>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2020-04-14T16:25:00Z</dcterms:created>
  <dcterms:modified xsi:type="dcterms:W3CDTF">2020-04-14T16:25:00Z</dcterms:modified>
</cp:coreProperties>
</file>